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3"/>
        <w:gridCol w:w="5103"/>
      </w:tblGrid>
      <w:tr w:rsidR="005D473B" w14:paraId="143B7FB6" w14:textId="77777777" w:rsidTr="000667DA">
        <w:trPr>
          <w:cantSplit/>
        </w:trPr>
        <w:tc>
          <w:tcPr>
            <w:tcW w:w="5103" w:type="dxa"/>
          </w:tcPr>
          <w:p w14:paraId="5A7C4A63" w14:textId="77777777" w:rsidR="005D473B" w:rsidRDefault="005D473B" w:rsidP="005D473B">
            <w:bookmarkStart w:id="0" w:name="_GoBack"/>
            <w:r>
              <w:rPr>
                <w:noProof/>
              </w:rPr>
              <w:drawing>
                <wp:anchor distT="0" distB="575945" distL="0" distR="0" simplePos="0" relativeHeight="251658240" behindDoc="0" locked="0" layoutInCell="1" allowOverlap="1" wp14:anchorId="3EBB7101" wp14:editId="37EB03D6">
                  <wp:simplePos x="0" y="0"/>
                  <wp:positionH relativeFrom="column">
                    <wp:posOffset>2540</wp:posOffset>
                  </wp:positionH>
                  <wp:positionV relativeFrom="paragraph">
                    <wp:posOffset>3810</wp:posOffset>
                  </wp:positionV>
                  <wp:extent cx="1114560" cy="719640"/>
                  <wp:effectExtent l="0" t="0" r="0" b="4445"/>
                  <wp:wrapSquare wrapText="bothSides"/>
                  <wp:docPr id="1" name="Picture 1" descr="Government Communication Service" title="Government Communic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hogben\AppData\Local\Microsoft\Windows\INetCache\Content.Word\GCS_BLK_SML_AW.PNG"/>
                          <pic:cNvPicPr>
                            <a:picLocks noChangeAspect="1" noChangeArrowheads="1"/>
                          </pic:cNvPicPr>
                        </pic:nvPicPr>
                        <pic:blipFill>
                          <a:blip r:embed="rId7" cstate="hqprint">
                            <a:extLst>
                              <a:ext uri="{28A0092B-C50C-407E-A947-70E740481C1C}">
                                <a14:useLocalDpi xmlns:a14="http://schemas.microsoft.com/office/drawing/2010/main" val="0"/>
                              </a:ext>
                            </a:extLst>
                          </a:blip>
                          <a:srcRect/>
                          <a:stretch>
                            <a:fillRect/>
                          </a:stretch>
                        </pic:blipFill>
                        <pic:spPr bwMode="auto">
                          <a:xfrm>
                            <a:off x="0" y="0"/>
                            <a:ext cx="1114560" cy="71964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tc>
        <w:tc>
          <w:tcPr>
            <w:tcW w:w="5103" w:type="dxa"/>
          </w:tcPr>
          <w:p w14:paraId="6D3E9087" w14:textId="77777777" w:rsidR="005D473B" w:rsidRPr="005D473B" w:rsidRDefault="000667DA" w:rsidP="000667DA">
            <w:pPr>
              <w:pStyle w:val="Title"/>
            </w:pPr>
            <w:r>
              <w:t>Help your team to recover:</w:t>
            </w:r>
            <w:r>
              <w:br/>
              <w:t>a leader’s checklist</w:t>
            </w:r>
          </w:p>
        </w:tc>
      </w:tr>
    </w:tbl>
    <w:p w14:paraId="499F158D" w14:textId="77777777" w:rsidR="000667DA" w:rsidRDefault="000667DA" w:rsidP="005C1B9D">
      <w:pPr>
        <w:spacing w:after="240"/>
      </w:pPr>
      <w:r>
        <w:t>During times of crisis, communication professionals can often be the people that have worked the most hours, sacrificed the greatest amount of personal time and have effectively worked at</w:t>
      </w:r>
      <w:r w:rsidR="00476FA6">
        <w:t> </w:t>
      </w:r>
      <w:r>
        <w:t xml:space="preserve">the coal face to manage the crisis. </w:t>
      </w:r>
    </w:p>
    <w:p w14:paraId="770A910B" w14:textId="77777777" w:rsidR="000667DA" w:rsidRDefault="000667DA" w:rsidP="005C1B9D">
      <w:pPr>
        <w:spacing w:after="240"/>
      </w:pPr>
      <w:r>
        <w:t>How you choose to acknowledge this will differ from crisis to crisis or depending on the characteristics of your team, but here are a few ideas to get you started.</w:t>
      </w:r>
    </w:p>
    <w:tbl>
      <w:tblPr>
        <w:tblW w:w="10207" w:type="dxa"/>
        <w:tblBorders>
          <w:insideH w:val="single" w:sz="12" w:space="0" w:color="FFFFFF" w:themeColor="background1"/>
        </w:tblBorders>
        <w:shd w:val="clear" w:color="auto" w:fill="F2F2F2" w:themeFill="background1" w:themeFillShade="F2"/>
        <w:tblLayout w:type="fixed"/>
        <w:tblCellMar>
          <w:top w:w="57" w:type="dxa"/>
          <w:left w:w="113" w:type="dxa"/>
          <w:bottom w:w="57" w:type="dxa"/>
          <w:right w:w="113" w:type="dxa"/>
        </w:tblCellMar>
        <w:tblLook w:val="0000" w:firstRow="0" w:lastRow="0" w:firstColumn="0" w:lastColumn="0" w:noHBand="0" w:noVBand="0"/>
      </w:tblPr>
      <w:tblGrid>
        <w:gridCol w:w="567"/>
        <w:gridCol w:w="8789"/>
        <w:gridCol w:w="851"/>
      </w:tblGrid>
      <w:tr w:rsidR="000667DA" w:rsidRPr="005D473B" w14:paraId="5E847ED0" w14:textId="77777777" w:rsidTr="00887EF6">
        <w:trPr>
          <w:cantSplit/>
        </w:trPr>
        <w:tc>
          <w:tcPr>
            <w:tcW w:w="567" w:type="dxa"/>
            <w:shd w:val="clear" w:color="auto" w:fill="CC6227"/>
          </w:tcPr>
          <w:p w14:paraId="6B6B567E" w14:textId="77777777" w:rsidR="000667DA" w:rsidRPr="00887EF6" w:rsidRDefault="000667DA" w:rsidP="00887EF6">
            <w:pPr>
              <w:spacing w:before="60" w:after="60"/>
              <w:jc w:val="center"/>
              <w:rPr>
                <w:b/>
                <w:color w:val="FFFFFF" w:themeColor="background1"/>
              </w:rPr>
            </w:pPr>
            <w:r w:rsidRPr="00887EF6">
              <w:rPr>
                <w:b/>
                <w:color w:val="FFFFFF" w:themeColor="background1"/>
              </w:rPr>
              <w:t>1</w:t>
            </w:r>
          </w:p>
        </w:tc>
        <w:tc>
          <w:tcPr>
            <w:tcW w:w="8789" w:type="dxa"/>
            <w:shd w:val="clear" w:color="auto" w:fill="F6DFCE"/>
          </w:tcPr>
          <w:p w14:paraId="0FE21796" w14:textId="77777777" w:rsidR="00887EF6" w:rsidRPr="00887EF6" w:rsidRDefault="00887EF6" w:rsidP="00887EF6">
            <w:pPr>
              <w:pStyle w:val="Heading2"/>
              <w:spacing w:before="60"/>
            </w:pPr>
            <w:r w:rsidRPr="00887EF6">
              <w:t>Remember to say thank you</w:t>
            </w:r>
          </w:p>
          <w:p w14:paraId="6FAF9A0D" w14:textId="77777777" w:rsidR="000667DA" w:rsidRPr="005D473B" w:rsidRDefault="00887EF6" w:rsidP="00887EF6">
            <w:pPr>
              <w:spacing w:before="60" w:after="60"/>
            </w:pPr>
            <w:r>
              <w:t>It’s an obvious point, but one that can be lost in the rush to return to normal business. You may want to hold a team meeting where you publicly thank individuals or the whole team for their efforts, and it may also be appropriate to provide one-to-one feedback to those who have gone above and beyond.</w:t>
            </w:r>
          </w:p>
        </w:tc>
        <w:tc>
          <w:tcPr>
            <w:tcW w:w="851" w:type="dxa"/>
            <w:shd w:val="clear" w:color="auto" w:fill="FBEFE6"/>
          </w:tcPr>
          <w:p w14:paraId="3EB5C648" w14:textId="77777777" w:rsidR="000667DA" w:rsidRPr="005D473B" w:rsidRDefault="000667DA" w:rsidP="00887EF6">
            <w:pPr>
              <w:spacing w:before="60" w:after="60"/>
              <w:jc w:val="center"/>
            </w:pPr>
          </w:p>
        </w:tc>
      </w:tr>
      <w:tr w:rsidR="000667DA" w:rsidRPr="005D473B" w14:paraId="4D5D7A08" w14:textId="77777777" w:rsidTr="00887EF6">
        <w:trPr>
          <w:cantSplit/>
        </w:trPr>
        <w:tc>
          <w:tcPr>
            <w:tcW w:w="567" w:type="dxa"/>
            <w:shd w:val="clear" w:color="auto" w:fill="CC6227"/>
          </w:tcPr>
          <w:p w14:paraId="1C01D66B" w14:textId="77777777" w:rsidR="000667DA" w:rsidRPr="00887EF6" w:rsidRDefault="000667DA" w:rsidP="00887EF6">
            <w:pPr>
              <w:spacing w:before="60" w:after="60"/>
              <w:jc w:val="center"/>
              <w:rPr>
                <w:b/>
                <w:color w:val="FFFFFF" w:themeColor="background1"/>
              </w:rPr>
            </w:pPr>
            <w:r w:rsidRPr="00887EF6">
              <w:rPr>
                <w:b/>
                <w:color w:val="FFFFFF" w:themeColor="background1"/>
              </w:rPr>
              <w:t>2</w:t>
            </w:r>
          </w:p>
        </w:tc>
        <w:tc>
          <w:tcPr>
            <w:tcW w:w="8789" w:type="dxa"/>
            <w:shd w:val="clear" w:color="auto" w:fill="F6DFCE"/>
          </w:tcPr>
          <w:p w14:paraId="0D8B8D15" w14:textId="77777777" w:rsidR="00887EF6" w:rsidRPr="00887EF6" w:rsidRDefault="00887EF6" w:rsidP="00887EF6">
            <w:pPr>
              <w:pStyle w:val="Heading2"/>
              <w:spacing w:before="60"/>
            </w:pPr>
            <w:r w:rsidRPr="00887EF6">
              <w:t>Make sure you honour any overtime or leave entitlements</w:t>
            </w:r>
          </w:p>
          <w:p w14:paraId="3DB019AC" w14:textId="77777777" w:rsidR="000667DA" w:rsidRPr="005D473B" w:rsidRDefault="00887EF6" w:rsidP="00887EF6">
            <w:pPr>
              <w:spacing w:before="60" w:after="60"/>
            </w:pPr>
            <w:r>
              <w:t>During a crisis you often hear managers and team leaders encouraging people to work longer hours or weekends with the promise of lieu time or overtime payments, yet these offers can be forgotten in the aftermath. If you have promised lieu time or overtime payments make sure they are delivered.</w:t>
            </w:r>
          </w:p>
        </w:tc>
        <w:tc>
          <w:tcPr>
            <w:tcW w:w="851" w:type="dxa"/>
            <w:shd w:val="clear" w:color="auto" w:fill="FBEFE6"/>
          </w:tcPr>
          <w:p w14:paraId="27D5BA6C" w14:textId="77777777" w:rsidR="000667DA" w:rsidRPr="005D473B" w:rsidRDefault="000667DA" w:rsidP="00887EF6">
            <w:pPr>
              <w:spacing w:before="60" w:after="60"/>
              <w:jc w:val="center"/>
            </w:pPr>
          </w:p>
        </w:tc>
      </w:tr>
      <w:tr w:rsidR="000667DA" w:rsidRPr="005D473B" w14:paraId="3CA737DB" w14:textId="77777777" w:rsidTr="00887EF6">
        <w:trPr>
          <w:cantSplit/>
        </w:trPr>
        <w:tc>
          <w:tcPr>
            <w:tcW w:w="567" w:type="dxa"/>
            <w:shd w:val="clear" w:color="auto" w:fill="CC6227"/>
          </w:tcPr>
          <w:p w14:paraId="161F529C" w14:textId="77777777" w:rsidR="000667DA" w:rsidRPr="00887EF6" w:rsidRDefault="000667DA" w:rsidP="00887EF6">
            <w:pPr>
              <w:spacing w:before="60" w:after="60"/>
              <w:jc w:val="center"/>
              <w:rPr>
                <w:b/>
                <w:color w:val="FFFFFF" w:themeColor="background1"/>
              </w:rPr>
            </w:pPr>
            <w:r w:rsidRPr="00887EF6">
              <w:rPr>
                <w:b/>
                <w:color w:val="FFFFFF" w:themeColor="background1"/>
              </w:rPr>
              <w:t>3</w:t>
            </w:r>
          </w:p>
        </w:tc>
        <w:tc>
          <w:tcPr>
            <w:tcW w:w="8789" w:type="dxa"/>
            <w:shd w:val="clear" w:color="auto" w:fill="F6DFCE"/>
          </w:tcPr>
          <w:p w14:paraId="4AB0EC02" w14:textId="77777777" w:rsidR="00887EF6" w:rsidRPr="00887EF6" w:rsidRDefault="00887EF6" w:rsidP="00887EF6">
            <w:pPr>
              <w:pStyle w:val="Heading2"/>
              <w:spacing w:before="60"/>
            </w:pPr>
            <w:r w:rsidRPr="00887EF6">
              <w:t>Reflect outstanding performance in end-of-year reviews</w:t>
            </w:r>
          </w:p>
          <w:p w14:paraId="005AF18E" w14:textId="77777777" w:rsidR="000667DA" w:rsidRPr="005D473B" w:rsidRDefault="00887EF6" w:rsidP="00887EF6">
            <w:pPr>
              <w:spacing w:before="60" w:after="60"/>
            </w:pPr>
            <w:r>
              <w:t>In a similar way, make sure the work undertaken by team members is recorded in end-of-year appraisals and consider whether bonus schemes might be used to acknowledge those who made a particularly significant contribution.</w:t>
            </w:r>
          </w:p>
        </w:tc>
        <w:tc>
          <w:tcPr>
            <w:tcW w:w="851" w:type="dxa"/>
            <w:shd w:val="clear" w:color="auto" w:fill="FBEFE6"/>
          </w:tcPr>
          <w:p w14:paraId="3BF18C7C" w14:textId="77777777" w:rsidR="000667DA" w:rsidRPr="005D473B" w:rsidRDefault="000667DA" w:rsidP="00887EF6">
            <w:pPr>
              <w:spacing w:before="60" w:after="60"/>
              <w:jc w:val="center"/>
            </w:pPr>
          </w:p>
        </w:tc>
      </w:tr>
      <w:tr w:rsidR="000667DA" w:rsidRPr="005D473B" w14:paraId="79F68BA8" w14:textId="77777777" w:rsidTr="00887EF6">
        <w:trPr>
          <w:cantSplit/>
        </w:trPr>
        <w:tc>
          <w:tcPr>
            <w:tcW w:w="567" w:type="dxa"/>
            <w:shd w:val="clear" w:color="auto" w:fill="CC6227"/>
          </w:tcPr>
          <w:p w14:paraId="7616A75E" w14:textId="77777777" w:rsidR="000667DA" w:rsidRPr="00887EF6" w:rsidRDefault="000667DA" w:rsidP="00887EF6">
            <w:pPr>
              <w:spacing w:before="60" w:after="60"/>
              <w:jc w:val="center"/>
              <w:rPr>
                <w:b/>
                <w:color w:val="FFFFFF" w:themeColor="background1"/>
              </w:rPr>
            </w:pPr>
            <w:r w:rsidRPr="00887EF6">
              <w:rPr>
                <w:b/>
                <w:color w:val="FFFFFF" w:themeColor="background1"/>
              </w:rPr>
              <w:t>4</w:t>
            </w:r>
          </w:p>
        </w:tc>
        <w:tc>
          <w:tcPr>
            <w:tcW w:w="8789" w:type="dxa"/>
            <w:shd w:val="clear" w:color="auto" w:fill="F6DFCE"/>
          </w:tcPr>
          <w:p w14:paraId="5E1FC70B" w14:textId="77777777" w:rsidR="00887EF6" w:rsidRPr="00887EF6" w:rsidRDefault="00887EF6" w:rsidP="00887EF6">
            <w:pPr>
              <w:pStyle w:val="Heading2"/>
              <w:spacing w:before="60"/>
            </w:pPr>
            <w:r w:rsidRPr="00887EF6">
              <w:t>Ensure the wider organisation acknowledges your team’s role</w:t>
            </w:r>
          </w:p>
          <w:p w14:paraId="0423E19E" w14:textId="77777777" w:rsidR="000667DA" w:rsidRPr="005D473B" w:rsidRDefault="00887EF6" w:rsidP="00887EF6">
            <w:pPr>
              <w:spacing w:before="60" w:after="60"/>
            </w:pPr>
            <w:r>
              <w:t>As well as your personal gratitude, it is worth encouraging senior figures within the organisation to thank teams. This might mean encouraging your Secretary of State or Chief Executive to speak to your teams or email their thanks: a small gesture that can make a big difference to morale.</w:t>
            </w:r>
          </w:p>
        </w:tc>
        <w:tc>
          <w:tcPr>
            <w:tcW w:w="851" w:type="dxa"/>
            <w:shd w:val="clear" w:color="auto" w:fill="FBEFE6"/>
          </w:tcPr>
          <w:p w14:paraId="6F931E19" w14:textId="77777777" w:rsidR="000667DA" w:rsidRPr="005D473B" w:rsidRDefault="000667DA" w:rsidP="00887EF6">
            <w:pPr>
              <w:spacing w:before="60" w:after="60"/>
              <w:jc w:val="center"/>
            </w:pPr>
          </w:p>
        </w:tc>
      </w:tr>
      <w:tr w:rsidR="000667DA" w:rsidRPr="005D473B" w14:paraId="1D74D375" w14:textId="77777777" w:rsidTr="00887EF6">
        <w:trPr>
          <w:cantSplit/>
        </w:trPr>
        <w:tc>
          <w:tcPr>
            <w:tcW w:w="567" w:type="dxa"/>
            <w:shd w:val="clear" w:color="auto" w:fill="CC6227"/>
          </w:tcPr>
          <w:p w14:paraId="02589F80" w14:textId="77777777" w:rsidR="000667DA" w:rsidRPr="00887EF6" w:rsidRDefault="000667DA" w:rsidP="00887EF6">
            <w:pPr>
              <w:spacing w:before="60" w:after="60"/>
              <w:jc w:val="center"/>
              <w:rPr>
                <w:b/>
                <w:color w:val="FFFFFF" w:themeColor="background1"/>
              </w:rPr>
            </w:pPr>
            <w:r w:rsidRPr="00887EF6">
              <w:rPr>
                <w:b/>
                <w:color w:val="FFFFFF" w:themeColor="background1"/>
              </w:rPr>
              <w:t>5</w:t>
            </w:r>
          </w:p>
        </w:tc>
        <w:tc>
          <w:tcPr>
            <w:tcW w:w="8789" w:type="dxa"/>
            <w:shd w:val="clear" w:color="auto" w:fill="F6DFCE"/>
          </w:tcPr>
          <w:p w14:paraId="1CEBA188" w14:textId="77777777" w:rsidR="00887EF6" w:rsidRPr="00887EF6" w:rsidRDefault="00887EF6" w:rsidP="00887EF6">
            <w:pPr>
              <w:pStyle w:val="Heading2"/>
              <w:spacing w:before="60"/>
            </w:pPr>
            <w:r w:rsidRPr="00887EF6">
              <w:t>Make use of the connections you have built with colleagues across your organisation</w:t>
            </w:r>
          </w:p>
          <w:p w14:paraId="16A0A272" w14:textId="77777777" w:rsidR="000667DA" w:rsidRPr="005D473B" w:rsidRDefault="00887EF6" w:rsidP="00887EF6">
            <w:pPr>
              <w:spacing w:before="60" w:after="60"/>
            </w:pPr>
            <w:r>
              <w:t>Crises often bring teams that usually interact on an ad hoc basis only together to work almost inseparably. Make use of these new connections, foster them and see how maintaining these closer working relationships may be able to help your team in the long run.</w:t>
            </w:r>
          </w:p>
        </w:tc>
        <w:tc>
          <w:tcPr>
            <w:tcW w:w="851" w:type="dxa"/>
            <w:shd w:val="clear" w:color="auto" w:fill="FBEFE6"/>
          </w:tcPr>
          <w:p w14:paraId="2B84B732" w14:textId="77777777" w:rsidR="000667DA" w:rsidRPr="005D473B" w:rsidRDefault="000667DA" w:rsidP="00887EF6">
            <w:pPr>
              <w:spacing w:before="60" w:after="60"/>
              <w:jc w:val="center"/>
            </w:pPr>
          </w:p>
        </w:tc>
      </w:tr>
    </w:tbl>
    <w:p w14:paraId="25E0DE43" w14:textId="77777777" w:rsidR="005D473B" w:rsidRPr="005D473B" w:rsidRDefault="005D473B" w:rsidP="000667DA"/>
    <w:sectPr w:rsidR="005D473B" w:rsidRPr="005D473B" w:rsidSect="00A37230">
      <w:footerReference w:type="default" r:id="rId8"/>
      <w:pgSz w:w="11906" w:h="16838" w:code="9"/>
      <w:pgMar w:top="567" w:right="851" w:bottom="1134" w:left="851"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D48BEC" w14:textId="77777777" w:rsidR="00517C2C" w:rsidRDefault="00517C2C" w:rsidP="00A37230">
      <w:r>
        <w:separator/>
      </w:r>
    </w:p>
  </w:endnote>
  <w:endnote w:type="continuationSeparator" w:id="0">
    <w:p w14:paraId="74CA342B" w14:textId="77777777" w:rsidR="00517C2C" w:rsidRDefault="00517C2C" w:rsidP="00A37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3CFA5" w14:textId="77777777" w:rsidR="00A37230" w:rsidRDefault="00A37230">
    <w:pPr>
      <w:pStyle w:val="Footer"/>
    </w:pPr>
    <w:r w:rsidRPr="005D473B">
      <w:t>Rehearsal exercise checklist</w:t>
    </w:r>
    <w:r>
      <w:t xml:space="preserve"> (09.18)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78DA1" w14:textId="77777777" w:rsidR="00517C2C" w:rsidRDefault="00517C2C" w:rsidP="00A37230">
      <w:r>
        <w:separator/>
      </w:r>
    </w:p>
  </w:footnote>
  <w:footnote w:type="continuationSeparator" w:id="0">
    <w:p w14:paraId="5F1DEE57" w14:textId="77777777" w:rsidR="00517C2C" w:rsidRDefault="00517C2C" w:rsidP="00A37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97076"/>
    <w:multiLevelType w:val="hybridMultilevel"/>
    <w:tmpl w:val="EF58A7F8"/>
    <w:lvl w:ilvl="0" w:tplc="085C184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DF6666"/>
    <w:multiLevelType w:val="hybridMultilevel"/>
    <w:tmpl w:val="64966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73B"/>
    <w:rsid w:val="000325BC"/>
    <w:rsid w:val="000667DA"/>
    <w:rsid w:val="00072C0B"/>
    <w:rsid w:val="000E32E2"/>
    <w:rsid w:val="00476FA6"/>
    <w:rsid w:val="00517C2C"/>
    <w:rsid w:val="005A5281"/>
    <w:rsid w:val="005C1B9D"/>
    <w:rsid w:val="005D473B"/>
    <w:rsid w:val="0069683C"/>
    <w:rsid w:val="00887EF6"/>
    <w:rsid w:val="00A37230"/>
    <w:rsid w:val="00F55B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A0F81A"/>
  <w14:defaultImageDpi w14:val="330"/>
  <w15:chartTrackingRefBased/>
  <w15:docId w15:val="{9F9F6561-74F0-4D71-8B71-5CF40BCA4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uiPriority="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887EF6"/>
    <w:pPr>
      <w:spacing w:after="0" w:line="240" w:lineRule="auto"/>
    </w:pPr>
    <w:rPr>
      <w:rFonts w:ascii="Arial" w:hAnsi="Arial"/>
      <w:sz w:val="24"/>
    </w:rPr>
  </w:style>
  <w:style w:type="paragraph" w:styleId="Heading1">
    <w:name w:val="heading 1"/>
    <w:basedOn w:val="Normal"/>
    <w:next w:val="Normal"/>
    <w:link w:val="Heading1Char"/>
    <w:uiPriority w:val="1"/>
    <w:qFormat/>
    <w:rsid w:val="00072C0B"/>
    <w:pPr>
      <w:keepNext/>
      <w:keepLines/>
      <w:spacing w:before="480" w:after="120"/>
      <w:outlineLvl w:val="0"/>
    </w:pPr>
    <w:rPr>
      <w:rFonts w:eastAsiaTheme="majorEastAsia" w:cstheme="majorBidi"/>
      <w:b/>
      <w:color w:val="CC6227"/>
      <w:szCs w:val="32"/>
    </w:rPr>
  </w:style>
  <w:style w:type="paragraph" w:styleId="Heading2">
    <w:name w:val="heading 2"/>
    <w:basedOn w:val="Normal"/>
    <w:next w:val="Normal"/>
    <w:link w:val="Heading2Char"/>
    <w:uiPriority w:val="1"/>
    <w:rsid w:val="00887EF6"/>
    <w:pPr>
      <w:keepNext/>
      <w:keepLines/>
      <w:spacing w:after="60"/>
      <w:outlineLvl w:val="1"/>
    </w:pPr>
    <w:rPr>
      <w:rFonts w:eastAsiaTheme="majorEastAsia" w:cstheme="majorBidi"/>
      <w:b/>
      <w:color w:val="CC6227"/>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4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0E32E2"/>
    <w:pPr>
      <w:jc w:val="right"/>
    </w:pPr>
    <w:rPr>
      <w:color w:val="CC6227"/>
      <w:sz w:val="32"/>
      <w:szCs w:val="28"/>
    </w:rPr>
  </w:style>
  <w:style w:type="character" w:customStyle="1" w:styleId="TitleChar">
    <w:name w:val="Title Char"/>
    <w:basedOn w:val="DefaultParagraphFont"/>
    <w:link w:val="Title"/>
    <w:rsid w:val="000E32E2"/>
    <w:rPr>
      <w:rFonts w:ascii="Arial" w:hAnsi="Arial"/>
      <w:color w:val="CC6227"/>
      <w:sz w:val="32"/>
      <w:szCs w:val="28"/>
    </w:rPr>
  </w:style>
  <w:style w:type="character" w:customStyle="1" w:styleId="Heading1Char">
    <w:name w:val="Heading 1 Char"/>
    <w:basedOn w:val="DefaultParagraphFont"/>
    <w:link w:val="Heading1"/>
    <w:uiPriority w:val="1"/>
    <w:rsid w:val="00072C0B"/>
    <w:rPr>
      <w:rFonts w:ascii="Arial" w:eastAsiaTheme="majorEastAsia" w:hAnsi="Arial" w:cstheme="majorBidi"/>
      <w:b/>
      <w:color w:val="CC6227"/>
      <w:sz w:val="24"/>
      <w:szCs w:val="32"/>
    </w:rPr>
  </w:style>
  <w:style w:type="paragraph" w:styleId="ListParagraph">
    <w:name w:val="List Paragraph"/>
    <w:basedOn w:val="Normal"/>
    <w:uiPriority w:val="99"/>
    <w:semiHidden/>
    <w:rsid w:val="005D473B"/>
    <w:pPr>
      <w:ind w:left="720"/>
      <w:contextualSpacing/>
    </w:pPr>
  </w:style>
  <w:style w:type="paragraph" w:styleId="Header">
    <w:name w:val="header"/>
    <w:basedOn w:val="Normal"/>
    <w:link w:val="HeaderChar"/>
    <w:uiPriority w:val="99"/>
    <w:semiHidden/>
    <w:rsid w:val="00A37230"/>
    <w:rPr>
      <w:sz w:val="18"/>
    </w:rPr>
  </w:style>
  <w:style w:type="character" w:customStyle="1" w:styleId="HeaderChar">
    <w:name w:val="Header Char"/>
    <w:basedOn w:val="DefaultParagraphFont"/>
    <w:link w:val="Header"/>
    <w:uiPriority w:val="99"/>
    <w:semiHidden/>
    <w:rsid w:val="00A37230"/>
    <w:rPr>
      <w:rFonts w:ascii="Arial" w:hAnsi="Arial"/>
      <w:sz w:val="18"/>
    </w:rPr>
  </w:style>
  <w:style w:type="paragraph" w:styleId="Footer">
    <w:name w:val="footer"/>
    <w:basedOn w:val="Normal"/>
    <w:link w:val="FooterChar"/>
    <w:uiPriority w:val="99"/>
    <w:semiHidden/>
    <w:rsid w:val="00A37230"/>
    <w:rPr>
      <w:sz w:val="18"/>
    </w:rPr>
  </w:style>
  <w:style w:type="character" w:customStyle="1" w:styleId="FooterChar">
    <w:name w:val="Footer Char"/>
    <w:basedOn w:val="DefaultParagraphFont"/>
    <w:link w:val="Footer"/>
    <w:uiPriority w:val="99"/>
    <w:semiHidden/>
    <w:rsid w:val="00A37230"/>
    <w:rPr>
      <w:rFonts w:ascii="Arial" w:hAnsi="Arial"/>
      <w:sz w:val="18"/>
    </w:rPr>
  </w:style>
  <w:style w:type="character" w:customStyle="1" w:styleId="Heading2Char">
    <w:name w:val="Heading 2 Char"/>
    <w:basedOn w:val="DefaultParagraphFont"/>
    <w:link w:val="Heading2"/>
    <w:uiPriority w:val="1"/>
    <w:rsid w:val="00887EF6"/>
    <w:rPr>
      <w:rFonts w:ascii="Arial" w:eastAsiaTheme="majorEastAsia" w:hAnsi="Arial" w:cstheme="majorBidi"/>
      <w:b/>
      <w:color w:val="CC6227"/>
      <w:sz w:val="24"/>
      <w:szCs w:val="26"/>
    </w:rPr>
  </w:style>
  <w:style w:type="paragraph" w:styleId="BalloonText">
    <w:name w:val="Balloon Text"/>
    <w:basedOn w:val="Normal"/>
    <w:link w:val="BalloonTextChar"/>
    <w:uiPriority w:val="99"/>
    <w:semiHidden/>
    <w:unhideWhenUsed/>
    <w:rsid w:val="00F55BE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5BE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Leader's checklist</vt:lpstr>
    </vt:vector>
  </TitlesOfParts>
  <Manager>Government Communication Service</Manager>
  <Company>Government Communication Service</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Leader's checklist</dc:title>
  <dc:subject>Leader's exercise checklist</dc:subject>
  <dc:creator>Government Communication Service</dc:creator>
  <cp:keywords>Leader; checklist; Government Communication Service; GCS;</cp:keywords>
  <dc:description/>
  <cp:lastModifiedBy>Microsoft Office User</cp:lastModifiedBy>
  <cp:revision>2</cp:revision>
  <cp:lastPrinted>2019-08-05T09:10:00Z</cp:lastPrinted>
  <dcterms:created xsi:type="dcterms:W3CDTF">2019-08-05T09:19:00Z</dcterms:created>
  <dcterms:modified xsi:type="dcterms:W3CDTF">2019-08-05T09:19:00Z</dcterms:modified>
</cp:coreProperties>
</file>